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p>
    <w:p>
      <w:pPr>
        <w:spacing w:after="120"/>
      </w:pPr>
    </w:p>
    <w:p>
      <w:pPr>
        <w:spacing w:after="120"/>
      </w:pPr>
    </w:p>
    <w:p>
      <w:pPr>
        <w:spacing w:after="120"/>
      </w:pPr>
    </w:p>
    <w:p>
      <w:pPr>
        <w:spacing w:after="120"/>
      </w:pPr>
    </w:p>
    <w:p>
      <w:pPr>
        <w:spacing w:after="240" w:line="276" w:lineRule="auto" w:before="400"/>
        <w:jc w:val="right"/>
        <w:bidi w:val="1"/>
      </w:pPr>
      <w:r>
        <w:rPr>
          <w:rFonts w:ascii="Arial" w:hAnsi="Arial" w:cs="Arial"/>
          <w:b/>
          <w:color w:val="1F4E79"/>
          <w:sz w:val="48"/>
        </w:rPr>
        <w:t>الوضع الحالي لنظام بلدية البريج</w:t>
      </w:r>
    </w:p>
    <w:p>
      <w:pPr>
        <w:spacing w:after="480" w:line="276" w:lineRule="auto"/>
        <w:jc w:val="right"/>
        <w:keepNext/>
        <w:bidi w:val="1"/>
      </w:pPr>
      <w:r>
        <w:rPr>
          <w:rFonts w:ascii="Arial" w:hAnsi="Arial" w:cs="Arial"/>
          <w:b w:val="0"/>
          <w:color w:val="5B6875"/>
          <w:sz w:val="30"/>
        </w:rPr>
        <w:t>ملخص تنفيذي موجّه للإدارة</w:t>
      </w:r>
    </w:p>
    <w:p>
      <w:pPr>
        <w:spacing w:after="600" w:line="276" w:lineRule="auto"/>
        <w:jc w:val="right"/>
        <w:bidi w:val="1"/>
      </w:pPr>
      <w:r>
        <w:rPr>
          <w:rFonts w:ascii="Arial" w:hAnsi="Arial" w:cs="Arial"/>
          <w:b w:val="0"/>
          <w:color w:val="243447"/>
          <w:sz w:val="24"/>
        </w:rPr>
        <w:t>وصف موجز لقدرات النظام الحالية ومجالات استخدامه وتكاملاته التشغيلية</w:t>
      </w:r>
    </w:p>
    <w:tbl>
      <w:tblPr>
        <w:tblW w:type="auto" w:w="0"/>
        <w:jc w:val="right"/>
        <w:tblLayout w:type="fixed"/>
        <w:tblLook w:firstColumn="1" w:firstRow="1" w:lastColumn="0" w:lastRow="0" w:noHBand="0" w:noVBand="1" w:val="04A0"/>
      </w:tblPr>
      <w:tblGrid>
        <w:gridCol w:w="9972"/>
      </w:tblGrid>
      <w:tr>
        <w:tc>
          <w:tcPr>
            <w:tcW w:type="dxa" w:w="9184"/>
            <w:shd w:fill="EEF4F9"/>
            <w:tcMar>
              <w:top w:w="160" w:type="dxa"/>
              <w:start w:w="180" w:type="dxa"/>
              <w:bottom w:w="160" w:type="dxa"/>
              <w:end w:w="180" w:type="dxa"/>
            </w:tcMar>
            <w:vAlign w:val="center"/>
          </w:tcPr>
          <w:p>
            <w:pPr>
              <w:spacing w:after="0"/>
              <w:jc w:val="right"/>
              <w:bidi w:val="1"/>
            </w:pPr>
            <w:r>
              <w:rPr>
                <w:rFonts w:ascii="Arial" w:hAnsi="Arial" w:cs="Arial"/>
                <w:b/>
                <w:color w:val="1F4E79"/>
                <w:sz w:val="22"/>
              </w:rPr>
              <w:t xml:space="preserve">نطاق الوثيقة: </w:t>
            </w:r>
            <w:r>
              <w:rPr>
                <w:rFonts w:ascii="Arial" w:hAnsi="Arial" w:cs="Arial"/>
                <w:color w:val="243447"/>
                <w:sz w:val="22"/>
              </w:rPr>
              <w:t>تعكس هذه الوثيقة ما هو ظاهر في الكود والإعدادات الحالية، ولا تمثل اعتمادًا رسميًا لكل إجراء إداري أو تشغيلي.</w:t>
            </w:r>
          </w:p>
        </w:tc>
      </w:tr>
    </w:tbl>
    <w:p>
      <w:pPr>
        <w:spacing w:after="40"/>
      </w:pPr>
    </w:p>
    <w:p>
      <w:pPr>
        <w:spacing w:after="80" w:line="276" w:lineRule="auto"/>
        <w:jc w:val="right"/>
        <w:bidi w:val="1"/>
      </w:pPr>
      <w:r>
        <w:rPr>
          <w:rFonts w:ascii="Arial" w:hAnsi="Arial" w:cs="Arial"/>
          <w:b w:val="0"/>
          <w:color w:val="5B6875"/>
          <w:sz w:val="22"/>
        </w:rPr>
        <w:t>تاريخ الإعداد: 03-08-2026</w:t>
      </w:r>
    </w:p>
    <w:p>
      <w:pPr>
        <w:spacing w:after="0" w:line="276" w:lineRule="auto"/>
        <w:jc w:val="right"/>
        <w:bidi w:val="1"/>
      </w:pPr>
      <w:r>
        <w:rPr>
          <w:rFonts w:ascii="Arial" w:hAnsi="Arial" w:cs="Arial"/>
          <w:b w:val="0"/>
          <w:color w:val="5B6875"/>
          <w:sz w:val="22"/>
        </w:rPr>
        <w:t>الجهة: بلدية البريج</w:t>
      </w:r>
    </w:p>
    <w:p>
      <w:r>
        <w:br w:type="page"/>
      </w:r>
    </w:p>
    <w:p>
      <w:pPr>
        <w:pStyle w:val="Heading1"/>
        <w:keepNext/>
        <w:jc w:val="right"/>
        <w:bidi w:val="1"/>
      </w:pPr>
      <w:r>
        <w:rPr>
          <w:rFonts w:ascii="Arial" w:hAnsi="Arial" w:cs="Arial"/>
          <w:b/>
          <w:color w:val="1F4E79"/>
          <w:sz w:val="32"/>
        </w:rPr>
        <w:t>1. الملخص التنفيذي</w:t>
      </w:r>
    </w:p>
    <w:p>
      <w:pPr>
        <w:spacing w:after="160" w:line="276" w:lineRule="auto"/>
        <w:jc w:val="right"/>
        <w:bidi w:val="1"/>
      </w:pPr>
      <w:r>
        <w:rPr>
          <w:rFonts w:ascii="Arial" w:hAnsi="Arial" w:cs="Arial"/>
          <w:b w:val="0"/>
          <w:color w:val="243447"/>
          <w:sz w:val="24"/>
        </w:rPr>
        <w:t>نظام بلدية البريج هو منصة رقمية متعددة المجالات تجمع عددًا من الأعمال البلدية والإدارية في بيئة واحدة. يوفّر النظام لوحات دخول ومتابعة، شاشات لإدارة السجلات والمعاملات، تقارير وطباعة مستندات، خرائط وبيانات مكانية، إشعارات، وصلاحيات بحسب المستخدم والدور.</w:t>
      </w:r>
    </w:p>
    <w:p>
      <w:pPr>
        <w:spacing w:after="160" w:line="276" w:lineRule="auto"/>
        <w:jc w:val="right"/>
        <w:bidi w:val="1"/>
      </w:pPr>
      <w:r>
        <w:rPr>
          <w:rFonts w:ascii="Arial" w:hAnsi="Arial" w:cs="Arial"/>
          <w:b w:val="0"/>
          <w:color w:val="243447"/>
          <w:sz w:val="24"/>
        </w:rPr>
        <w:t>يظهر من الوضع الحالي أن المنصة تخدم الأعمال الداخلية للبلدية، وتدعم كذلك قنوات وخدمات موجهة للجمهور عبر واجهات API خاصة بالخدمات والمعاملات. كما توجد وظائف للبحث في البيانات المدنية، متابعة الطلبات، إدارة المرفقات، والأرشفة، بما يساعد على توحيد الوصول إلى المعلومات وتقليل العمل المتفرق بين أدوات منفصلة.</w:t>
      </w:r>
    </w:p>
    <w:tbl>
      <w:tblPr>
        <w:tblW w:type="auto" w:w="0"/>
        <w:jc w:val="right"/>
        <w:tblLayout w:type="fixed"/>
        <w:tblLook w:firstColumn="1" w:firstRow="1" w:lastColumn="0" w:lastRow="0" w:noHBand="0" w:noVBand="1" w:val="04A0"/>
      </w:tblPr>
      <w:tblGrid>
        <w:gridCol w:w="9972"/>
      </w:tblGrid>
      <w:tr>
        <w:tc>
          <w:tcPr>
            <w:tcW w:type="dxa" w:w="9184"/>
            <w:shd w:fill="EEF4F9"/>
            <w:tcMar>
              <w:top w:w="160" w:type="dxa"/>
              <w:start w:w="180" w:type="dxa"/>
              <w:bottom w:w="160" w:type="dxa"/>
              <w:end w:w="180" w:type="dxa"/>
            </w:tcMar>
            <w:vAlign w:val="center"/>
          </w:tcPr>
          <w:p>
            <w:pPr>
              <w:spacing w:after="0"/>
              <w:jc w:val="right"/>
              <w:bidi w:val="1"/>
            </w:pPr>
            <w:r>
              <w:rPr>
                <w:rFonts w:ascii="Arial" w:hAnsi="Arial" w:cs="Arial"/>
                <w:b/>
                <w:color w:val="1F4E79"/>
                <w:sz w:val="22"/>
              </w:rPr>
              <w:t xml:space="preserve">الخلاصة الإدارية: </w:t>
            </w:r>
            <w:r>
              <w:rPr>
                <w:rFonts w:ascii="Arial" w:hAnsi="Arial" w:cs="Arial"/>
                <w:color w:val="243447"/>
                <w:sz w:val="22"/>
              </w:rPr>
              <w:t>النظام الحالي يمثل منصة تشغيلية واسعة تغطي مجالات إدارية وخدمية ومكانية ووثائقية، مع وجود بنية تسمح بالمتابعة والصلاحيات والتكامل مع خدمات خارجية.</w:t>
            </w:r>
          </w:p>
        </w:tc>
      </w:tr>
    </w:tbl>
    <w:p>
      <w:pPr>
        <w:spacing w:after="40"/>
      </w:pPr>
    </w:p>
    <w:p>
      <w:pPr>
        <w:pStyle w:val="Heading1"/>
        <w:keepNext/>
        <w:jc w:val="right"/>
        <w:bidi w:val="1"/>
      </w:pPr>
      <w:r>
        <w:rPr>
          <w:rFonts w:ascii="Arial" w:hAnsi="Arial" w:cs="Arial"/>
          <w:b/>
          <w:color w:val="1F4E79"/>
          <w:sz w:val="32"/>
        </w:rPr>
        <w:t>2. صورة عامة عن النظام</w:t>
      </w:r>
    </w:p>
    <w:tbl>
      <w:tblPr>
        <w:tblStyle w:val="TableGrid"/>
        <w:tblW w:type="auto" w:w="0"/>
        <w:jc w:val="right"/>
        <w:tblLayout w:type="fixed"/>
        <w:tblLook w:firstColumn="1" w:firstRow="1" w:lastColumn="0" w:lastRow="0" w:noHBand="0" w:noVBand="1" w:val="04A0"/>
      </w:tblPr>
      <w:tblGrid>
        <w:gridCol w:w="4986"/>
        <w:gridCol w:w="4986"/>
      </w:tblGrid>
      <w:tr>
        <w:trPr>
          <w:tblHeader w:val="true"/>
        </w:trPr>
        <w:tc>
          <w:tcPr>
            <w:tcW w:type="dxa" w:w="2835"/>
            <w:shd w:fill="1F4E79"/>
            <w:tcMar>
              <w:top w:w="100" w:type="dxa"/>
              <w:start w:w="140" w:type="dxa"/>
              <w:bottom w:w="100" w:type="dxa"/>
              <w:end w:w="140" w:type="dxa"/>
            </w:tcMar>
            <w:vAlign w:val="center"/>
          </w:tcPr>
          <w:p>
            <w:pPr>
              <w:spacing w:after="0"/>
              <w:jc w:val="center"/>
              <w:bidi w:val="1"/>
            </w:pPr>
            <w:r>
              <w:rPr>
                <w:rFonts w:ascii="Arial" w:hAnsi="Arial" w:cs="Arial"/>
                <w:b/>
                <w:color w:val="FFFFFF"/>
                <w:sz w:val="20"/>
              </w:rPr>
              <w:t>العنصر</w:t>
            </w:r>
          </w:p>
        </w:tc>
        <w:tc>
          <w:tcPr>
            <w:tcW w:type="dxa" w:w="6350"/>
            <w:shd w:fill="1F4E79"/>
            <w:tcMar>
              <w:top w:w="100" w:type="dxa"/>
              <w:start w:w="140" w:type="dxa"/>
              <w:bottom w:w="100" w:type="dxa"/>
              <w:end w:w="140" w:type="dxa"/>
            </w:tcMar>
            <w:vAlign w:val="center"/>
          </w:tcPr>
          <w:p>
            <w:pPr>
              <w:spacing w:after="0"/>
              <w:jc w:val="center"/>
              <w:bidi w:val="1"/>
            </w:pPr>
            <w:r>
              <w:rPr>
                <w:rFonts w:ascii="Arial" w:hAnsi="Arial" w:cs="Arial"/>
                <w:b/>
                <w:color w:val="FFFFFF"/>
                <w:sz w:val="20"/>
              </w:rPr>
              <w:t>الوضع الظاهر حاليًا</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طبيعة المنصة</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منصة ويب مركزية متعددة الأنظمة والمجالات.</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عدد الأنظمة/الموديولات المفعّلة</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14 موديولًا مفعّلًا بحسب ملف حالة الموديولات.</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قنوات الاستخدام</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واجهات ويب داخلية، وواجهات API لخدمات الجمهور وبعض التكاملات.</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اللغة والواجهة</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واجهة عربية واضحة في عدد كبير من الشاشات، مع دعم عناصر إنجليزية عند الحاجة.</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المتابعة والتقارير</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لوحات متابعة، تقارير بحثية وتشغيلية، وطباعة مستندات وشهادات وتقارير.</w:t>
            </w:r>
          </w:p>
        </w:tc>
      </w:tr>
    </w:tbl>
    <w:p>
      <w:pPr>
        <w:spacing w:after="40"/>
      </w:pPr>
    </w:p>
    <w:p>
      <w:pPr>
        <w:pStyle w:val="Heading1"/>
        <w:keepNext/>
        <w:jc w:val="right"/>
        <w:bidi w:val="1"/>
      </w:pPr>
      <w:r>
        <w:rPr>
          <w:rFonts w:ascii="Arial" w:hAnsi="Arial" w:cs="Arial"/>
          <w:b/>
          <w:color w:val="1F4E79"/>
          <w:sz w:val="32"/>
        </w:rPr>
        <w:t>3. المجالات والأنظمة الحالية</w:t>
      </w:r>
    </w:p>
    <w:tbl>
      <w:tblPr>
        <w:tblStyle w:val="TableGrid"/>
        <w:tblW w:type="auto" w:w="0"/>
        <w:jc w:val="right"/>
        <w:tblLayout w:type="fixed"/>
        <w:tblLook w:firstColumn="1" w:firstRow="1" w:lastColumn="0" w:lastRow="0" w:noHBand="0" w:noVBand="1" w:val="04A0"/>
      </w:tblPr>
      <w:tblGrid>
        <w:gridCol w:w="4986"/>
        <w:gridCol w:w="4986"/>
      </w:tblGrid>
      <w:tr>
        <w:trPr>
          <w:tblHeader w:val="true"/>
        </w:trPr>
        <w:tc>
          <w:tcPr>
            <w:tcW w:type="dxa" w:w="2835"/>
            <w:shd w:fill="1F4E79"/>
            <w:tcMar>
              <w:top w:w="100" w:type="dxa"/>
              <w:start w:w="140" w:type="dxa"/>
              <w:bottom w:w="100" w:type="dxa"/>
              <w:end w:w="140" w:type="dxa"/>
            </w:tcMar>
            <w:vAlign w:val="center"/>
          </w:tcPr>
          <w:p>
            <w:pPr>
              <w:spacing w:after="0"/>
              <w:jc w:val="center"/>
              <w:bidi w:val="1"/>
            </w:pPr>
            <w:r>
              <w:rPr>
                <w:rFonts w:ascii="Arial" w:hAnsi="Arial" w:cs="Arial"/>
                <w:b/>
                <w:color w:val="FFFFFF"/>
                <w:sz w:val="20"/>
              </w:rPr>
              <w:t>المجال</w:t>
            </w:r>
          </w:p>
        </w:tc>
        <w:tc>
          <w:tcPr>
            <w:tcW w:type="dxa" w:w="6350"/>
            <w:shd w:fill="1F4E79"/>
            <w:tcMar>
              <w:top w:w="100" w:type="dxa"/>
              <w:start w:w="140" w:type="dxa"/>
              <w:bottom w:w="100" w:type="dxa"/>
              <w:end w:w="140" w:type="dxa"/>
            </w:tcMar>
            <w:vAlign w:val="center"/>
          </w:tcPr>
          <w:p>
            <w:pPr>
              <w:spacing w:after="0"/>
              <w:jc w:val="center"/>
              <w:bidi w:val="1"/>
            </w:pPr>
            <w:r>
              <w:rPr>
                <w:rFonts w:ascii="Arial" w:hAnsi="Arial" w:cs="Arial"/>
                <w:b/>
                <w:color w:val="FFFFFF"/>
                <w:sz w:val="20"/>
              </w:rPr>
              <w:t>ما يغطيه النظام حاليًا</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خدمات الجمهور والخدمات الإلكترونية</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إدارة قوالب الخدمات والطلبات، مسارات المعالجة، الردود، المرفقات، المدفوعات، وشاشات متابعة الطلبات.</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الموارد البشرية والإجازات</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إدارة الموظفين والهيكل التنظيمي والمسميات الوظيفية والإجازات وبعض أرشيفات الموظفين.</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الحرف والتراخيص والتحصيلات</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إدارة ملفات الحرف، التراخيص، المتابعة، الإشعارات، الرسوم والمدفوعات والتقارير ذات العلاقة.</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التنظيم والبيانات الجغرافية GIS</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عرض الخرائط والطبقات، البحث عن المباني، بيانات الشوارع والأحياء والقطع، وربط بعض البيانات البلدية بالموقع.</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الأرشيف والوثائق</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حفظ وعرض صور ووثائق الأرشيف، مراجعة الصور، طباعة ملفات مختارة، ومزامنة الصور مع التخزين السحابي عند توفر الإعدادات.</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المخزون والحركات</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إدارة الأصناف والتصنيفات وحركات الإدخال والإخراج ومتابعة المخزون.</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المجلس والقرارات</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إدارة جلسات المجلس وقراراته وإتاحة طباعة مستندات مرتبطة بها.</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التخطيط والشهادات</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وظائف التخطيط والاستعلامات وبعض البيانات والتقارير، وإصدار أو معاينة شهادات محددة.</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التدقيق والمراسلات ومساحة العمل</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تسجيل نشاطات المستخدمين، الإشعارات، المراسلات والمرفقات ومساحة عمل داخلية للمتابعة.</w:t>
            </w:r>
          </w:p>
        </w:tc>
      </w:tr>
    </w:tbl>
    <w:p>
      <w:pPr>
        <w:spacing w:after="40"/>
      </w:pPr>
    </w:p>
    <w:p>
      <w:r>
        <w:br w:type="page"/>
      </w:r>
    </w:p>
    <w:p>
      <w:pPr>
        <w:pStyle w:val="Heading1"/>
        <w:keepNext/>
        <w:jc w:val="right"/>
        <w:bidi w:val="1"/>
      </w:pPr>
      <w:r>
        <w:rPr>
          <w:rFonts w:ascii="Arial" w:hAnsi="Arial" w:cs="Arial"/>
          <w:b/>
          <w:color w:val="1F4E79"/>
          <w:sz w:val="32"/>
        </w:rPr>
        <w:t>4. الوظائف الإدارية الرئيسية</w:t>
      </w:r>
    </w:p>
    <w:p>
      <w:pPr>
        <w:pStyle w:val="ListBullet"/>
        <w:spacing w:after="80" w:line="264" w:lineRule="auto"/>
        <w:jc w:val="right"/>
        <w:bidi w:val="1"/>
      </w:pPr>
      <w:r>
        <w:rPr>
          <w:rFonts w:ascii="Arial" w:hAnsi="Arial" w:cs="Arial"/>
          <w:color w:val="243447"/>
          <w:sz w:val="22"/>
        </w:rPr>
        <w:t>لوحة مركزية للوصول إلى الأنظمة ومتابعة مؤشرات أو عناصر عمل مختارة.</w:t>
      </w:r>
    </w:p>
    <w:p>
      <w:pPr>
        <w:pStyle w:val="ListBullet"/>
        <w:spacing w:after="80" w:line="264" w:lineRule="auto"/>
        <w:jc w:val="right"/>
        <w:bidi w:val="1"/>
      </w:pPr>
      <w:r>
        <w:rPr>
          <w:rFonts w:ascii="Arial" w:hAnsi="Arial" w:cs="Arial"/>
          <w:color w:val="243447"/>
          <w:sz w:val="22"/>
        </w:rPr>
        <w:t>إدارة سجلات وطلبات ومعاملات من خلال صفحات إنشاء وتعديل وعرض وبحث.</w:t>
      </w:r>
    </w:p>
    <w:p>
      <w:pPr>
        <w:pStyle w:val="ListBullet"/>
        <w:spacing w:after="80" w:line="264" w:lineRule="auto"/>
        <w:jc w:val="right"/>
        <w:bidi w:val="1"/>
      </w:pPr>
      <w:r>
        <w:rPr>
          <w:rFonts w:ascii="Arial" w:hAnsi="Arial" w:cs="Arial"/>
          <w:color w:val="243447"/>
          <w:sz w:val="22"/>
        </w:rPr>
        <w:t>توزيع بعض الطلبات على الموظفين أو الأقسام ومتابعة مراحل الإنجاز.</w:t>
      </w:r>
    </w:p>
    <w:p>
      <w:pPr>
        <w:pStyle w:val="ListBullet"/>
        <w:spacing w:after="80" w:line="264" w:lineRule="auto"/>
        <w:jc w:val="right"/>
        <w:bidi w:val="1"/>
      </w:pPr>
      <w:r>
        <w:rPr>
          <w:rFonts w:ascii="Arial" w:hAnsi="Arial" w:cs="Arial"/>
          <w:color w:val="243447"/>
          <w:sz w:val="22"/>
        </w:rPr>
        <w:t>إرفاق الملفات والصور بالمعاملات والسجلات، مع وظائف عرض وتنزيل وطباعة.</w:t>
      </w:r>
    </w:p>
    <w:p>
      <w:pPr>
        <w:pStyle w:val="ListBullet"/>
        <w:spacing w:after="80" w:line="264" w:lineRule="auto"/>
        <w:jc w:val="right"/>
        <w:bidi w:val="1"/>
      </w:pPr>
      <w:r>
        <w:rPr>
          <w:rFonts w:ascii="Arial" w:hAnsi="Arial" w:cs="Arial"/>
          <w:color w:val="243447"/>
          <w:sz w:val="22"/>
        </w:rPr>
        <w:t>إصدار تقارير تشغيلية وتقارير بحثية، مع صفحات طباعة لبعض الملفات والشهادات والقرارات.</w:t>
      </w:r>
    </w:p>
    <w:p>
      <w:pPr>
        <w:pStyle w:val="ListBullet"/>
        <w:spacing w:after="80" w:line="264" w:lineRule="auto"/>
        <w:jc w:val="right"/>
        <w:bidi w:val="1"/>
      </w:pPr>
      <w:r>
        <w:rPr>
          <w:rFonts w:ascii="Arial" w:hAnsi="Arial" w:cs="Arial"/>
          <w:color w:val="243447"/>
          <w:sz w:val="22"/>
        </w:rPr>
        <w:t>إرسال إشعارات داخلية وتنبيهات مرتبطة بالمعاملات والمهام، بما في ذلك تذكيرات بالمهام المتوقفة.</w:t>
      </w:r>
    </w:p>
    <w:p>
      <w:pPr>
        <w:pStyle w:val="ListBullet"/>
        <w:spacing w:after="80" w:line="264" w:lineRule="auto"/>
        <w:jc w:val="right"/>
        <w:bidi w:val="1"/>
      </w:pPr>
      <w:r>
        <w:rPr>
          <w:rFonts w:ascii="Arial" w:hAnsi="Arial" w:cs="Arial"/>
          <w:color w:val="243447"/>
          <w:sz w:val="22"/>
        </w:rPr>
        <w:t>عرض بيانات مكانية من خلال خرائط عامة وخريطة داخلية بطبقات وحقول وصفية.</w:t>
      </w:r>
    </w:p>
    <w:p>
      <w:pPr>
        <w:pStyle w:val="ListBullet"/>
        <w:spacing w:after="80" w:line="264" w:lineRule="auto"/>
        <w:jc w:val="right"/>
        <w:bidi w:val="1"/>
      </w:pPr>
      <w:r>
        <w:rPr>
          <w:rFonts w:ascii="Arial" w:hAnsi="Arial" w:cs="Arial"/>
          <w:color w:val="243447"/>
          <w:sz w:val="22"/>
        </w:rPr>
        <w:t>توفير بحث في بيانات مدنية وعائلية ضمن الواجهات المصرح بها.</w:t>
      </w:r>
    </w:p>
    <w:p>
      <w:pPr>
        <w:pStyle w:val="Heading1"/>
        <w:keepNext/>
        <w:jc w:val="right"/>
        <w:bidi w:val="1"/>
      </w:pPr>
      <w:r>
        <w:rPr>
          <w:rFonts w:ascii="Arial" w:hAnsi="Arial" w:cs="Arial"/>
          <w:b/>
          <w:color w:val="1F4E79"/>
          <w:sz w:val="32"/>
        </w:rPr>
        <w:t>5. المستخدمون والصلاحيات</w:t>
      </w:r>
    </w:p>
    <w:p>
      <w:pPr>
        <w:spacing w:after="160" w:line="276" w:lineRule="auto"/>
        <w:jc w:val="right"/>
        <w:bidi w:val="1"/>
      </w:pPr>
      <w:r>
        <w:rPr>
          <w:rFonts w:ascii="Arial" w:hAnsi="Arial" w:cs="Arial"/>
          <w:b w:val="0"/>
          <w:color w:val="243447"/>
          <w:sz w:val="24"/>
        </w:rPr>
        <w:t>يستخدم النظام تسجيل دخول مركزيًا للواجهات الداخلية، وتظهر في التطبيق آليات لإدارة المستخدمين والأدوار والصلاحيات. الوصول إلى بعض الصفحات والعمليات محكوم بالمصادقة وبصلاحيات محددة، مع وجود أدوار خاصة لبعض الوظائف الإدارية مثل إدارة النظام.</w:t>
      </w:r>
    </w:p>
    <w:p>
      <w:pPr>
        <w:spacing w:after="160" w:line="276" w:lineRule="auto"/>
        <w:jc w:val="right"/>
        <w:bidi w:val="1"/>
      </w:pPr>
      <w:r>
        <w:rPr>
          <w:rFonts w:ascii="Arial" w:hAnsi="Arial" w:cs="Arial"/>
          <w:b w:val="0"/>
          <w:color w:val="243447"/>
          <w:sz w:val="24"/>
        </w:rPr>
        <w:t>كما يدعم الوضع الحالي وسائل دخول حديثة مرتبطة بمفاتيح المرور، ويحتوي على وظائف لتحديث الملف الشخصي وكلمة المرور والإشعارات والاشتراكات الخاصة بإشعارات المتصفح. لا تتضمن هذه الوثيقة أسماء مستخدمين أو بيانات شخصية.</w:t>
      </w:r>
    </w:p>
    <w:tbl>
      <w:tblPr>
        <w:tblW w:type="auto" w:w="0"/>
        <w:jc w:val="right"/>
        <w:tblLayout w:type="fixed"/>
        <w:tblLook w:firstColumn="1" w:firstRow="1" w:lastColumn="0" w:lastRow="0" w:noHBand="0" w:noVBand="1" w:val="04A0"/>
      </w:tblPr>
      <w:tblGrid>
        <w:gridCol w:w="9972"/>
      </w:tblGrid>
      <w:tr>
        <w:tc>
          <w:tcPr>
            <w:tcW w:type="dxa" w:w="9184"/>
            <w:shd w:fill="EEF4F9"/>
            <w:tcMar>
              <w:top w:w="160" w:type="dxa"/>
              <w:start w:w="180" w:type="dxa"/>
              <w:bottom w:w="160" w:type="dxa"/>
              <w:end w:w="180" w:type="dxa"/>
            </w:tcMar>
            <w:vAlign w:val="center"/>
          </w:tcPr>
          <w:p>
            <w:pPr>
              <w:spacing w:after="0"/>
              <w:jc w:val="right"/>
              <w:bidi w:val="1"/>
            </w:pPr>
            <w:r>
              <w:rPr>
                <w:rFonts w:ascii="Arial" w:hAnsi="Arial" w:cs="Arial"/>
                <w:b/>
                <w:color w:val="1F4E79"/>
                <w:sz w:val="22"/>
              </w:rPr>
              <w:t xml:space="preserve">ملاحظة: </w:t>
            </w:r>
            <w:r>
              <w:rPr>
                <w:rFonts w:ascii="Arial" w:hAnsi="Arial" w:cs="Arial"/>
                <w:color w:val="243447"/>
                <w:sz w:val="22"/>
              </w:rPr>
              <w:t>التفاصيل الدقيقة لمصفوفة الصلاحيات وتوزيع المسؤوليات بين الإدارات تحتاج إلى اعتمادها ومراجعتها من الجهة المالكة للنظام، لأنها لا تُستنتج بالكامل من الكود وحده.</w:t>
            </w:r>
          </w:p>
        </w:tc>
      </w:tr>
    </w:tbl>
    <w:p>
      <w:pPr>
        <w:spacing w:after="40"/>
      </w:pPr>
    </w:p>
    <w:p>
      <w:pPr>
        <w:pStyle w:val="Heading1"/>
        <w:keepNext/>
        <w:jc w:val="right"/>
        <w:bidi w:val="1"/>
      </w:pPr>
      <w:r>
        <w:rPr>
          <w:rFonts w:ascii="Arial" w:hAnsi="Arial" w:cs="Arial"/>
          <w:b/>
          <w:color w:val="1F4E79"/>
          <w:sz w:val="32"/>
        </w:rPr>
        <w:t>6. التكاملات والقنوات المرتبطة</w:t>
      </w:r>
    </w:p>
    <w:tbl>
      <w:tblPr>
        <w:tblStyle w:val="TableGrid"/>
        <w:tblW w:type="auto" w:w="0"/>
        <w:jc w:val="right"/>
        <w:tblLayout w:type="fixed"/>
        <w:tblLook w:firstColumn="1" w:firstRow="1" w:lastColumn="0" w:lastRow="0" w:noHBand="0" w:noVBand="1" w:val="04A0"/>
      </w:tblPr>
      <w:tblGrid>
        <w:gridCol w:w="4986"/>
        <w:gridCol w:w="4986"/>
      </w:tblGrid>
      <w:tr>
        <w:trPr>
          <w:tblHeader w:val="true"/>
        </w:trPr>
        <w:tc>
          <w:tcPr>
            <w:tcW w:type="dxa" w:w="2835"/>
            <w:shd w:fill="1F4E79"/>
            <w:tcMar>
              <w:top w:w="100" w:type="dxa"/>
              <w:start w:w="140" w:type="dxa"/>
              <w:bottom w:w="100" w:type="dxa"/>
              <w:end w:w="140" w:type="dxa"/>
            </w:tcMar>
            <w:vAlign w:val="center"/>
          </w:tcPr>
          <w:p>
            <w:pPr>
              <w:spacing w:after="0"/>
              <w:jc w:val="center"/>
              <w:bidi w:val="1"/>
            </w:pPr>
            <w:r>
              <w:rPr>
                <w:rFonts w:ascii="Arial" w:hAnsi="Arial" w:cs="Arial"/>
                <w:b/>
                <w:color w:val="FFFFFF"/>
                <w:sz w:val="20"/>
              </w:rPr>
              <w:t>التكامل/القناة</w:t>
            </w:r>
          </w:p>
        </w:tc>
        <w:tc>
          <w:tcPr>
            <w:tcW w:type="dxa" w:w="6350"/>
            <w:shd w:fill="1F4E79"/>
            <w:tcMar>
              <w:top w:w="100" w:type="dxa"/>
              <w:start w:w="140" w:type="dxa"/>
              <w:bottom w:w="100" w:type="dxa"/>
              <w:end w:w="140" w:type="dxa"/>
            </w:tcMar>
            <w:vAlign w:val="center"/>
          </w:tcPr>
          <w:p>
            <w:pPr>
              <w:spacing w:after="0"/>
              <w:jc w:val="center"/>
              <w:bidi w:val="1"/>
            </w:pPr>
            <w:r>
              <w:rPr>
                <w:rFonts w:ascii="Arial" w:hAnsi="Arial" w:cs="Arial"/>
                <w:b/>
                <w:color w:val="FFFFFF"/>
                <w:sz w:val="20"/>
              </w:rPr>
              <w:t>الغرض الظاهر</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واجهات API لخدمات الجمهور</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تسجيل الدخول، عرض الخدمات والطلبات، إرسال الردود والمرفقات، المدفوعات والفواتير وبعض إعدادات الخدمة.</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Kobo</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استقبال بيانات نماذج عبر webhook ومعالجة بيانات مرتبطة بالخرائط أو الاستيراد البلدي.</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الخرائط والبيانات المكانية</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عرض طبقات GIS وبيانات المباني والشوارع والأحياء والمعالم والبحث المكاني.</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التخزين السحابي S3</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دعم تخزين أو مزامنة الصور والملفات عند تفعيل إعدادات التخزين المناسبة.</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الإشعارات</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إشعارات داخلية وإشعارات متصفح ودعم قنوات دفع الإشعارات عند تفعيلها.</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الطباعة وملفات PDF</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توليد أو عرض مستندات مطبوعة وتقارير وشهادات باستخدام مسارات مخصصة للطباعة.</w:t>
            </w:r>
          </w:p>
        </w:tc>
      </w:tr>
    </w:tbl>
    <w:p>
      <w:pPr>
        <w:spacing w:after="40"/>
      </w:pPr>
    </w:p>
    <w:p>
      <w:r>
        <w:br w:type="page"/>
      </w:r>
    </w:p>
    <w:p>
      <w:pPr>
        <w:pStyle w:val="Heading1"/>
        <w:keepNext/>
        <w:jc w:val="right"/>
        <w:bidi w:val="1"/>
      </w:pPr>
      <w:r>
        <w:rPr>
          <w:rFonts w:ascii="Arial" w:hAnsi="Arial" w:cs="Arial"/>
          <w:b/>
          <w:color w:val="1F4E79"/>
          <w:sz w:val="32"/>
        </w:rPr>
        <w:t>7. الوضع التشغيلي والتقني الحالي</w:t>
      </w:r>
    </w:p>
    <w:tbl>
      <w:tblPr>
        <w:tblStyle w:val="TableGrid"/>
        <w:tblW w:type="auto" w:w="0"/>
        <w:jc w:val="right"/>
        <w:tblLayout w:type="fixed"/>
        <w:tblLook w:firstColumn="1" w:firstRow="1" w:lastColumn="0" w:lastRow="0" w:noHBand="0" w:noVBand="1" w:val="04A0"/>
      </w:tblPr>
      <w:tblGrid>
        <w:gridCol w:w="4986"/>
        <w:gridCol w:w="4986"/>
      </w:tblGrid>
      <w:tr>
        <w:trPr>
          <w:tblHeader w:val="true"/>
        </w:trPr>
        <w:tc>
          <w:tcPr>
            <w:tcW w:type="dxa" w:w="2835"/>
            <w:shd w:fill="1F4E79"/>
            <w:tcMar>
              <w:top w:w="100" w:type="dxa"/>
              <w:start w:w="140" w:type="dxa"/>
              <w:bottom w:w="100" w:type="dxa"/>
              <w:end w:w="140" w:type="dxa"/>
            </w:tcMar>
            <w:vAlign w:val="center"/>
          </w:tcPr>
          <w:p>
            <w:pPr>
              <w:spacing w:after="0"/>
              <w:jc w:val="center"/>
              <w:bidi w:val="1"/>
            </w:pPr>
            <w:r>
              <w:rPr>
                <w:rFonts w:ascii="Arial" w:hAnsi="Arial" w:cs="Arial"/>
                <w:b/>
                <w:color w:val="FFFFFF"/>
                <w:sz w:val="20"/>
              </w:rPr>
              <w:t>المحور</w:t>
            </w:r>
          </w:p>
        </w:tc>
        <w:tc>
          <w:tcPr>
            <w:tcW w:type="dxa" w:w="6350"/>
            <w:shd w:fill="1F4E79"/>
            <w:tcMar>
              <w:top w:w="100" w:type="dxa"/>
              <w:start w:w="140" w:type="dxa"/>
              <w:bottom w:w="100" w:type="dxa"/>
              <w:end w:w="140" w:type="dxa"/>
            </w:tcMar>
            <w:vAlign w:val="center"/>
          </w:tcPr>
          <w:p>
            <w:pPr>
              <w:spacing w:after="0"/>
              <w:jc w:val="center"/>
              <w:bidi w:val="1"/>
            </w:pPr>
            <w:r>
              <w:rPr>
                <w:rFonts w:ascii="Arial" w:hAnsi="Arial" w:cs="Arial"/>
                <w:b/>
                <w:color w:val="FFFFFF"/>
                <w:sz w:val="20"/>
              </w:rPr>
              <w:t>المؤشرات الظاهرة في المشروع</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التقنية الأساسية</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Laravel 12، PHP 8.4، Livewire 4، Alpine.js، وTailwind CSS 4 بحسب سياق المشروع وإعداداته.</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تنظيم التطبيق</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تطبيق أساسي مع موديولات مستقلة نسبيًا، لكل منها مسارات وواجهات وملفات مرتبطة بمجاله.</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الواجهات</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واجهات ويب داخلية، شاشات لوحات، صفحات بحث وإدارة، وصفحات طباعة وتقارير.</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الواجهات البرمجية</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واجهات API عامة/مساندة وواجهات مخصصة لخدمات الجمهور، تشمل إصدارًا قديمًا وإصدار V2 لبعض الوظائف.</w:t>
            </w:r>
          </w:p>
        </w:tc>
      </w:tr>
      <w:tr>
        <w:tc>
          <w:tcPr>
            <w:tcW w:type="dxa" w:w="2835"/>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الجودة والاختبارات</w:t>
            </w:r>
          </w:p>
        </w:tc>
        <w:tc>
          <w:tcPr>
            <w:tcW w:type="dxa" w:w="6350"/>
            <w:shd w:fill="FFFFFF"/>
            <w:tcMar>
              <w:top w:w="120" w:type="dxa"/>
              <w:start w:w="140" w:type="dxa"/>
              <w:bottom w:w="120" w:type="dxa"/>
              <w:end w:w="140" w:type="dxa"/>
            </w:tcMar>
            <w:vAlign w:val="center"/>
          </w:tcPr>
          <w:p>
            <w:pPr>
              <w:spacing w:after="0"/>
              <w:jc w:val="right"/>
              <w:bidi w:val="1"/>
            </w:pPr>
            <w:r>
              <w:rPr>
                <w:rFonts w:ascii="Arial" w:hAnsi="Arial" w:cs="Arial"/>
                <w:color w:val="243447"/>
                <w:sz w:val="20"/>
              </w:rPr>
              <w:t>وجود مجموعة واسعة من اختبارات الوحدة والاختبارات الوظيفية تغطي المصادقة، الصلاحيات، الموديولات، التقارير، API، والاستيراد.</w:t>
            </w:r>
          </w:p>
        </w:tc>
      </w:tr>
      <w:tr>
        <w:tc>
          <w:tcPr>
            <w:tcW w:type="dxa" w:w="2835"/>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التشغيل الخلفي</w:t>
            </w:r>
          </w:p>
        </w:tc>
        <w:tc>
          <w:tcPr>
            <w:tcW w:type="dxa" w:w="6350"/>
            <w:shd w:fill="EEF4F9"/>
            <w:tcMar>
              <w:top w:w="120" w:type="dxa"/>
              <w:start w:w="140" w:type="dxa"/>
              <w:bottom w:w="120" w:type="dxa"/>
              <w:end w:w="140" w:type="dxa"/>
            </w:tcMar>
            <w:vAlign w:val="center"/>
          </w:tcPr>
          <w:p>
            <w:pPr>
              <w:spacing w:after="0"/>
              <w:jc w:val="right"/>
              <w:bidi w:val="1"/>
            </w:pPr>
            <w:r>
              <w:rPr>
                <w:rFonts w:ascii="Arial" w:hAnsi="Arial" w:cs="Arial"/>
                <w:color w:val="243447"/>
                <w:sz w:val="20"/>
              </w:rPr>
              <w:t>وجود وظائف للاستيراد، معالجة الصور، الإشعارات، التذكيرات، ومهام مرتبطة بالبيانات والأرشيف.</w:t>
            </w:r>
          </w:p>
        </w:tc>
      </w:tr>
    </w:tbl>
    <w:p>
      <w:pPr>
        <w:spacing w:after="40"/>
      </w:pPr>
    </w:p>
    <w:p>
      <w:pPr>
        <w:pStyle w:val="Heading1"/>
        <w:keepNext/>
        <w:jc w:val="right"/>
        <w:bidi w:val="1"/>
      </w:pPr>
      <w:r>
        <w:rPr>
          <w:rFonts w:ascii="Arial" w:hAnsi="Arial" w:cs="Arial"/>
          <w:b/>
          <w:color w:val="1F4E79"/>
          <w:sz w:val="32"/>
        </w:rPr>
        <w:t>8. ما يغطيه هذا التوثيق وما يحتاج لاحقًا</w:t>
      </w:r>
    </w:p>
    <w:p>
      <w:pPr>
        <w:spacing w:after="160" w:line="276" w:lineRule="auto"/>
        <w:jc w:val="right"/>
        <w:bidi w:val="1"/>
      </w:pPr>
      <w:r>
        <w:rPr>
          <w:rFonts w:ascii="Arial" w:hAnsi="Arial" w:cs="Arial"/>
          <w:b w:val="0"/>
          <w:color w:val="243447"/>
          <w:sz w:val="24"/>
        </w:rPr>
        <w:t>هذا المستند يقدّم صورة إدارية مختصرة عن قدرات النظام الحالية ومجالاته وقنواته. وهو مناسب كمرجع تمهيدي لفهم نطاق المنصة، وليس كدليل تشغيل تفصيلي أو سياسة إجراءات.</w:t>
      </w:r>
    </w:p>
    <w:p>
      <w:pPr>
        <w:spacing w:after="160" w:line="276" w:lineRule="auto"/>
        <w:jc w:val="right"/>
        <w:bidi w:val="1"/>
      </w:pPr>
      <w:r>
        <w:rPr>
          <w:rFonts w:ascii="Arial" w:hAnsi="Arial" w:cs="Arial"/>
          <w:b w:val="0"/>
          <w:color w:val="243447"/>
          <w:sz w:val="24"/>
        </w:rPr>
        <w:t>وللوصول إلى توثيق مؤسسي مكتمل، يُستحسن لاحقًا إعداد وثائق منفصلة تعتمدها الإدارات المعنية، مثل: دليل إجراءات كل موديول، مصفوفة المسؤوليات والصلاحيات، سياسات النسخ الاحتياطي والتعافي، سجل التكاملات وبيئات التشغيل، وتعريف مؤشرات الأداء والتقارير المعتمدة.</w:t>
      </w:r>
    </w:p>
    <w:tbl>
      <w:tblPr>
        <w:tblW w:type="auto" w:w="0"/>
        <w:jc w:val="right"/>
        <w:tblLayout w:type="fixed"/>
        <w:tblLook w:firstColumn="1" w:firstRow="1" w:lastColumn="0" w:lastRow="0" w:noHBand="0" w:noVBand="1" w:val="04A0"/>
      </w:tblPr>
      <w:tblGrid>
        <w:gridCol w:w="9972"/>
      </w:tblGrid>
      <w:tr>
        <w:tc>
          <w:tcPr>
            <w:tcW w:type="dxa" w:w="9184"/>
            <w:shd w:fill="EEF4F9"/>
            <w:tcMar>
              <w:top w:w="160" w:type="dxa"/>
              <w:start w:w="180" w:type="dxa"/>
              <w:bottom w:w="160" w:type="dxa"/>
              <w:end w:w="180" w:type="dxa"/>
            </w:tcMar>
            <w:vAlign w:val="center"/>
          </w:tcPr>
          <w:p>
            <w:pPr>
              <w:spacing w:after="0"/>
              <w:jc w:val="right"/>
              <w:bidi w:val="1"/>
            </w:pPr>
            <w:r>
              <w:rPr>
                <w:rFonts w:ascii="Arial" w:hAnsi="Arial" w:cs="Arial"/>
                <w:b/>
                <w:color w:val="1F4E79"/>
                <w:sz w:val="22"/>
              </w:rPr>
              <w:t xml:space="preserve">الحدود: </w:t>
            </w:r>
            <w:r>
              <w:rPr>
                <w:rFonts w:ascii="Arial" w:hAnsi="Arial" w:cs="Arial"/>
                <w:color w:val="243447"/>
                <w:sz w:val="22"/>
              </w:rPr>
              <w:t>تمت صياغة المعلومات على أساس ما هو ظاهر في ملفات المشروع وإعداداته واختباراته، دون افتراض عمليات أو سياسات غير موثقة داخل النظام.</w:t>
            </w:r>
          </w:p>
        </w:tc>
      </w:tr>
    </w:tbl>
    <w:p>
      <w:pPr>
        <w:spacing w:after="40"/>
      </w:pPr>
    </w:p>
    <w:p>
      <w:pPr>
        <w:pStyle w:val="Heading1"/>
        <w:keepNext/>
        <w:jc w:val="right"/>
        <w:bidi w:val="1"/>
      </w:pPr>
      <w:r>
        <w:rPr>
          <w:rFonts w:ascii="Arial" w:hAnsi="Arial" w:cs="Arial"/>
          <w:b/>
          <w:color w:val="1F4E79"/>
          <w:sz w:val="32"/>
        </w:rPr>
        <w:t>9. الخلاصة</w:t>
      </w:r>
    </w:p>
    <w:p>
      <w:pPr>
        <w:spacing w:after="160" w:line="276" w:lineRule="auto"/>
        <w:jc w:val="right"/>
        <w:bidi w:val="1"/>
      </w:pPr>
      <w:r>
        <w:rPr>
          <w:rFonts w:ascii="Arial" w:hAnsi="Arial" w:cs="Arial"/>
          <w:b w:val="0"/>
          <w:color w:val="243447"/>
          <w:sz w:val="24"/>
        </w:rPr>
        <w:t>الوضع الحالي يعكس منصة بلدية واسعة النطاق تجمع الخدمات الداخلية، الخدمات الموجهة للجمهور، البيانات المكانية، الأرشيف، الموارد البشرية، المخزون، المجلس، التقارير، والإشعارات ضمن منظومة واحدة. وتظهر في المشروع عناصر مهمة لدعم الحوكمة التشغيلية، مثل الصلاحيات، سجل النشاط، الاختبارات، والتقارير والطباعة.</w:t>
      </w:r>
    </w:p>
    <w:p>
      <w:pPr>
        <w:spacing w:after="160" w:line="276" w:lineRule="auto"/>
        <w:jc w:val="right"/>
        <w:bidi w:val="1"/>
      </w:pPr>
      <w:r>
        <w:rPr>
          <w:rFonts w:ascii="Arial" w:hAnsi="Arial" w:cs="Arial"/>
          <w:b w:val="0"/>
          <w:color w:val="243447"/>
          <w:sz w:val="24"/>
        </w:rPr>
        <w:t>يبقى الاعتماد النهائي على مستوى الإدارة مرتبطًا بمراجعة الإجراءات الفعلية، ملكية البيانات، توزيع الصلاحيات، واستمرارية التشغيل، وهي جوانب يمكن توثيقها في مرحلة لاحقة بالاستناد إلى مقابلات واعتمادات رسمية من أصحاب العلاقة.</w:t>
      </w:r>
    </w:p>
    <w:sectPr w:rsidR="00FC693F" w:rsidRPr="0006063C" w:rsidSect="00034616">
      <w:headerReference w:type="default" r:id="rId9"/>
      <w:footerReference w:type="default" r:id="rId10"/>
      <w:pgSz w:w="12240" w:h="15840"/>
      <w:pgMar w:top="1134" w:right="1134" w:bottom="964"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val="1"/>
    </w:pPr>
    <w:r>
      <w:rPr>
        <w:rFonts w:ascii="Arial" w:hAnsi="Arial" w:cs="Arial"/>
        <w:color w:val="5B6875"/>
        <w:sz w:val="18"/>
      </w:rPr>
      <w:t xml:space="preserve">صفحة </w:t>
    </w:r>
    <w:r>
      <w:rPr>
        <w:rFonts w:ascii="Arial" w:hAnsi="Arial" w:cs="Arial"/>
        <w:color w:val="5B6875"/>
        <w:sz w:val="18"/>
      </w:rPr>
      <w:fldChar w:fldCharType="begin"/>
      <w:instrText xml:space="preserve">PAGE</w:instrText>
      <w:fldChar w:fldCharType="separate"/>
      <w:t>1</w:t>
      <w:fldChar w:fldCharType="end"/>
    </w:r>
    <w:r>
      <w:rPr>
        <w:rFonts w:ascii="Arial" w:hAnsi="Arial" w:cs="Arial"/>
        <w:color w:val="5B6875"/>
        <w:sz w:val="18"/>
      </w:rPr>
      <w:t xml:space="preserve"> | إعداد: قراءة الوضع البرمجي الحالي</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Arial" w:hAnsi="Arial" w:cs="Arial"/>
        <w:color w:val="5B6875"/>
        <w:sz w:val="17"/>
      </w:rPr>
      <w:t>بلدية البريج | ملخص تنفيذي للوضع الحالي</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color w:val="24344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cs="Arial"/>
      <w:b/>
      <w:bCs/>
      <w:color w:val="1F4E79"/>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